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AD18" w14:textId="77777777" w:rsidR="00DB4FBC" w:rsidRDefault="00DB4FBC" w:rsidP="00DB4FBC">
      <w:pPr>
        <w:pStyle w:val="NormalWeb"/>
        <w:shd w:val="clear" w:color="auto" w:fill="FFFFFF"/>
        <w:spacing w:before="0" w:beforeAutospacing="0" w:after="0" w:afterAutospacing="0" w:line="231" w:lineRule="atLeast"/>
        <w:ind w:left="540"/>
        <w:rPr>
          <w:rFonts w:ascii="Calibri" w:hAnsi="Calibri" w:cs="Calibri"/>
          <w:color w:val="201F1E"/>
          <w:sz w:val="22"/>
          <w:szCs w:val="22"/>
        </w:rPr>
      </w:pPr>
      <w:r>
        <w:rPr>
          <w:rFonts w:ascii="inherit" w:hAnsi="inherit" w:cs="Calibri"/>
          <w:color w:val="000000"/>
          <w:bdr w:val="none" w:sz="0" w:space="0" w:color="auto" w:frame="1"/>
        </w:rPr>
        <w:t>1. We find the risk assessment tool to be beneficial and effective as method to assist growers in making determination of their specific circumstance.   Training will need on is application and an app for field use is a must prior to implementation in real time. </w:t>
      </w:r>
    </w:p>
    <w:p w14:paraId="2507511B" w14:textId="77777777" w:rsidR="00DB4FBC" w:rsidRDefault="00DB4FBC" w:rsidP="00DB4FBC">
      <w:pPr>
        <w:pStyle w:val="NormalWeb"/>
        <w:shd w:val="clear" w:color="auto" w:fill="FFFFFF"/>
        <w:spacing w:before="0" w:beforeAutospacing="0" w:after="0" w:afterAutospacing="0" w:line="231" w:lineRule="atLeast"/>
        <w:ind w:left="540"/>
        <w:rPr>
          <w:rFonts w:ascii="Calibri" w:hAnsi="Calibri" w:cs="Calibri"/>
          <w:color w:val="201F1E"/>
          <w:sz w:val="22"/>
          <w:szCs w:val="22"/>
        </w:rPr>
      </w:pPr>
      <w:r>
        <w:rPr>
          <w:rFonts w:ascii="inherit" w:hAnsi="inherit" w:cs="Calibri"/>
          <w:color w:val="000000"/>
          <w:bdr w:val="none" w:sz="0" w:space="0" w:color="auto" w:frame="1"/>
        </w:rPr>
        <w:t>2. Issues 5 and 15 (Environmental Assessments and Production Locations - Encroachment by Animals and Urban Settings) have been amended appropriately.  The Technical Committee should monitor these two areas as more scientific data is proven and make adjustments as necessary. </w:t>
      </w:r>
    </w:p>
    <w:p w14:paraId="24BF350E" w14:textId="77777777" w:rsidR="00DB4FBC" w:rsidRDefault="00DB4FBC" w:rsidP="00DB4FBC">
      <w:pPr>
        <w:pStyle w:val="NormalWeb"/>
        <w:shd w:val="clear" w:color="auto" w:fill="FFFFFF"/>
        <w:spacing w:before="0" w:beforeAutospacing="0" w:after="0" w:afterAutospacing="0" w:line="231" w:lineRule="atLeast"/>
        <w:ind w:left="540"/>
        <w:rPr>
          <w:rFonts w:ascii="Calibri" w:hAnsi="Calibri" w:cs="Calibri"/>
          <w:color w:val="201F1E"/>
          <w:sz w:val="22"/>
          <w:szCs w:val="22"/>
        </w:rPr>
      </w:pPr>
      <w:r>
        <w:rPr>
          <w:rFonts w:ascii="inherit" w:hAnsi="inherit" w:cs="Calibri"/>
          <w:color w:val="000000"/>
          <w:bdr w:val="none" w:sz="0" w:space="0" w:color="auto" w:frame="1"/>
        </w:rPr>
        <w:t>3.  As we continue to monitor and evaluation the food safety guidelines, all changes and recommendation should be based on scientific data.</w:t>
      </w:r>
      <w:r>
        <w:rPr>
          <w:rFonts w:ascii="Calibri" w:hAnsi="Calibri" w:cs="Calibri"/>
          <w:color w:val="000000"/>
          <w:sz w:val="22"/>
          <w:szCs w:val="22"/>
          <w:bdr w:val="none" w:sz="0" w:space="0" w:color="auto" w:frame="1"/>
        </w:rPr>
        <w:t>  The most recent audit by LGMA indicates that the industry is 99% in compliance with the LGMA standards, all based on science. </w:t>
      </w:r>
    </w:p>
    <w:p w14:paraId="56630F0F" w14:textId="77777777" w:rsidR="00DB4FBC" w:rsidRDefault="00DB4FBC" w:rsidP="00DB4FBC">
      <w:pPr>
        <w:pStyle w:val="NormalWeb"/>
        <w:shd w:val="clear" w:color="auto" w:fill="FFFFFF"/>
        <w:spacing w:before="0" w:beforeAutospacing="0" w:after="0" w:afterAutospacing="0" w:line="231" w:lineRule="atLeast"/>
        <w:ind w:left="540"/>
        <w:rPr>
          <w:rFonts w:ascii="Calibri" w:hAnsi="Calibri" w:cs="Calibri"/>
          <w:color w:val="201F1E"/>
          <w:sz w:val="22"/>
          <w:szCs w:val="22"/>
        </w:rPr>
      </w:pPr>
      <w:r>
        <w:rPr>
          <w:rFonts w:ascii="Calibri" w:hAnsi="Calibri" w:cs="Calibri"/>
          <w:color w:val="000000"/>
          <w:sz w:val="22"/>
          <w:szCs w:val="22"/>
          <w:bdr w:val="none" w:sz="0" w:space="0" w:color="auto" w:frame="1"/>
        </w:rPr>
        <w:t>4.  We, the growers, need a greater voice in the decision being made that impact the entire industry. We are thankful for our inclusion on the various subcommittee, but the final decisions about growing practices exclude us.   We, of course, are pleased with the return of Jack Vessey to the CA LGMA Board. </w:t>
      </w:r>
    </w:p>
    <w:p w14:paraId="31459C66" w14:textId="77777777" w:rsidR="00F22759" w:rsidRDefault="00F22759"/>
    <w:sectPr w:rsidR="00F22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BC"/>
    <w:rsid w:val="00C8249D"/>
    <w:rsid w:val="00DB4FBC"/>
    <w:rsid w:val="00F2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4379"/>
  <w15:chartTrackingRefBased/>
  <w15:docId w15:val="{F0584B45-BD94-4732-83AF-997CA5B9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Scott Nichols</cp:lastModifiedBy>
  <cp:revision>2</cp:revision>
  <dcterms:created xsi:type="dcterms:W3CDTF">2021-05-28T15:12:00Z</dcterms:created>
  <dcterms:modified xsi:type="dcterms:W3CDTF">2021-05-28T15:12:00Z</dcterms:modified>
</cp:coreProperties>
</file>